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BE" w:rsidRDefault="008527BE" w:rsidP="00692EA3">
      <w:pPr>
        <w:pStyle w:val="Default"/>
        <w:spacing w:after="270"/>
        <w:jc w:val="both"/>
        <w:outlineLvl w:val="0"/>
        <w:rPr>
          <w:rFonts w:ascii="Times New Roman" w:hAnsi="Times New Roman" w:cs="Times New Roman"/>
          <w:b/>
          <w:color w:val="auto"/>
          <w:kern w:val="1"/>
        </w:rPr>
      </w:pPr>
    </w:p>
    <w:p w:rsidR="008527BE" w:rsidRDefault="008527BE" w:rsidP="00692EA3">
      <w:pPr>
        <w:pStyle w:val="Default"/>
        <w:spacing w:after="270"/>
        <w:jc w:val="both"/>
        <w:outlineLvl w:val="0"/>
        <w:rPr>
          <w:rFonts w:ascii="Times New Roman" w:hAnsi="Times New Roman" w:cs="Times New Roman"/>
          <w:b/>
          <w:color w:val="auto"/>
          <w:kern w:val="1"/>
        </w:rPr>
      </w:pPr>
    </w:p>
    <w:p w:rsidR="00DD0E7F" w:rsidRPr="00FC3C0C" w:rsidRDefault="00CB14D4" w:rsidP="00692EA3">
      <w:pPr>
        <w:pStyle w:val="Default"/>
        <w:spacing w:after="270"/>
        <w:jc w:val="both"/>
        <w:outlineLvl w:val="0"/>
        <w:rPr>
          <w:rFonts w:ascii="Times New Roman" w:hAnsi="Times New Roman" w:cs="Times New Roman"/>
          <w:b/>
          <w:color w:val="auto"/>
          <w:kern w:val="1"/>
        </w:rPr>
      </w:pPr>
      <w:r w:rsidRPr="00FC3C0C">
        <w:rPr>
          <w:rFonts w:ascii="Times New Roman" w:hAnsi="Times New Roman" w:cs="Times New Roman"/>
          <w:b/>
          <w:color w:val="auto"/>
          <w:kern w:val="1"/>
        </w:rPr>
        <w:t xml:space="preserve">Merkantil Bank </w:t>
      </w:r>
      <w:proofErr w:type="spellStart"/>
      <w:r w:rsidRPr="00FC3C0C">
        <w:rPr>
          <w:rFonts w:ascii="Times New Roman" w:hAnsi="Times New Roman" w:cs="Times New Roman"/>
          <w:b/>
          <w:color w:val="auto"/>
          <w:kern w:val="1"/>
        </w:rPr>
        <w:t>Zrt</w:t>
      </w:r>
      <w:proofErr w:type="spellEnd"/>
      <w:r w:rsidR="00DD0E7F" w:rsidRPr="00FC3C0C">
        <w:rPr>
          <w:rFonts w:ascii="Times New Roman" w:hAnsi="Times New Roman" w:cs="Times New Roman"/>
          <w:b/>
          <w:color w:val="auto"/>
          <w:kern w:val="1"/>
        </w:rPr>
        <w:t>.</w:t>
      </w:r>
    </w:p>
    <w:p w:rsidR="00FC3C0C" w:rsidRPr="00FC3C0C" w:rsidRDefault="00CB14D4" w:rsidP="00FC3C0C">
      <w:pPr>
        <w:pStyle w:val="Default"/>
        <w:jc w:val="both"/>
        <w:outlineLvl w:val="0"/>
        <w:rPr>
          <w:rFonts w:ascii="Times New Roman" w:hAnsi="Times New Roman" w:cs="Times New Roman"/>
          <w:b/>
          <w:color w:val="auto"/>
          <w:kern w:val="1"/>
          <w:u w:val="single"/>
        </w:rPr>
      </w:pPr>
      <w:r w:rsidRPr="00FC3C0C">
        <w:rPr>
          <w:rFonts w:ascii="Times New Roman" w:hAnsi="Times New Roman" w:cs="Times New Roman"/>
          <w:b/>
          <w:color w:val="auto"/>
          <w:kern w:val="1"/>
          <w:u w:val="single"/>
        </w:rPr>
        <w:t xml:space="preserve">Budapest, </w:t>
      </w:r>
    </w:p>
    <w:p w:rsidR="00A9213E" w:rsidRDefault="00A9213E" w:rsidP="00782C63">
      <w:pPr>
        <w:pStyle w:val="Default"/>
        <w:tabs>
          <w:tab w:val="left" w:pos="5775"/>
        </w:tabs>
        <w:jc w:val="both"/>
        <w:outlineLvl w:val="0"/>
        <w:rPr>
          <w:rFonts w:ascii="Times New Roman" w:hAnsi="Times New Roman" w:cs="Times New Roman"/>
          <w:b/>
          <w:color w:val="auto"/>
          <w:kern w:val="1"/>
        </w:rPr>
      </w:pPr>
    </w:p>
    <w:p w:rsidR="00782C63" w:rsidRDefault="00CB14D4" w:rsidP="00782C63">
      <w:pPr>
        <w:pStyle w:val="Default"/>
        <w:tabs>
          <w:tab w:val="left" w:pos="5775"/>
        </w:tabs>
        <w:jc w:val="both"/>
        <w:outlineLvl w:val="0"/>
        <w:rPr>
          <w:rFonts w:ascii="Times New Roman" w:hAnsi="Times New Roman" w:cs="Times New Roman"/>
          <w:b/>
          <w:color w:val="auto"/>
          <w:kern w:val="1"/>
        </w:rPr>
      </w:pPr>
      <w:r w:rsidRPr="00FC3C0C">
        <w:rPr>
          <w:rFonts w:ascii="Times New Roman" w:hAnsi="Times New Roman" w:cs="Times New Roman"/>
          <w:b/>
          <w:color w:val="auto"/>
          <w:kern w:val="1"/>
        </w:rPr>
        <w:t>József Attila u. 8.</w:t>
      </w:r>
      <w:r w:rsidR="00782C63">
        <w:rPr>
          <w:rFonts w:ascii="Times New Roman" w:hAnsi="Times New Roman" w:cs="Times New Roman"/>
          <w:b/>
          <w:color w:val="auto"/>
          <w:kern w:val="1"/>
        </w:rPr>
        <w:tab/>
      </w:r>
    </w:p>
    <w:p w:rsidR="00A9213E" w:rsidRDefault="00A9213E" w:rsidP="00782C63">
      <w:pPr>
        <w:pStyle w:val="Default"/>
        <w:tabs>
          <w:tab w:val="left" w:pos="5775"/>
        </w:tabs>
        <w:jc w:val="both"/>
        <w:outlineLvl w:val="0"/>
        <w:rPr>
          <w:rFonts w:ascii="Times New Roman" w:hAnsi="Times New Roman" w:cs="Times New Roman"/>
          <w:b/>
          <w:color w:val="auto"/>
          <w:kern w:val="1"/>
        </w:rPr>
      </w:pPr>
    </w:p>
    <w:p w:rsidR="002E0785" w:rsidRDefault="00FC3C0C" w:rsidP="007D0759">
      <w:pPr>
        <w:pStyle w:val="Default"/>
        <w:tabs>
          <w:tab w:val="left" w:pos="5775"/>
        </w:tabs>
        <w:jc w:val="both"/>
        <w:outlineLvl w:val="0"/>
        <w:rPr>
          <w:rFonts w:ascii="Times New Roman" w:hAnsi="Times New Roman" w:cs="Times New Roman"/>
          <w:b/>
          <w:i/>
          <w:color w:val="auto"/>
          <w:kern w:val="1"/>
        </w:rPr>
      </w:pPr>
      <w:r w:rsidRPr="00FC3C0C">
        <w:rPr>
          <w:rFonts w:ascii="Times New Roman" w:hAnsi="Times New Roman" w:cs="Times New Roman"/>
          <w:b/>
          <w:color w:val="auto"/>
          <w:kern w:val="1"/>
        </w:rPr>
        <w:t>1051</w:t>
      </w:r>
    </w:p>
    <w:p w:rsidR="006946C7" w:rsidRPr="001F3F91" w:rsidRDefault="006946C7" w:rsidP="006946C7">
      <w:pPr>
        <w:pStyle w:val="Default"/>
        <w:ind w:left="5664"/>
        <w:jc w:val="both"/>
        <w:outlineLvl w:val="0"/>
        <w:rPr>
          <w:rFonts w:ascii="Times New Roman" w:hAnsi="Times New Roman" w:cs="Times New Roman"/>
          <w:b/>
          <w:i/>
          <w:color w:val="auto"/>
          <w:kern w:val="1"/>
        </w:rPr>
      </w:pPr>
      <w:r w:rsidRPr="001F3F91">
        <w:rPr>
          <w:rFonts w:ascii="Times New Roman" w:hAnsi="Times New Roman" w:cs="Times New Roman"/>
          <w:b/>
          <w:i/>
          <w:color w:val="auto"/>
          <w:kern w:val="1"/>
        </w:rPr>
        <w:t xml:space="preserve">Hitelazonosító: </w:t>
      </w:r>
    </w:p>
    <w:p w:rsidR="006946C7" w:rsidRPr="001F3F91" w:rsidRDefault="006946C7" w:rsidP="006946C7">
      <w:pPr>
        <w:pStyle w:val="Default"/>
        <w:ind w:left="5664"/>
        <w:jc w:val="both"/>
        <w:outlineLvl w:val="0"/>
        <w:rPr>
          <w:rFonts w:ascii="Times New Roman" w:hAnsi="Times New Roman" w:cs="Times New Roman"/>
          <w:b/>
          <w:i/>
          <w:color w:val="auto"/>
          <w:kern w:val="1"/>
        </w:rPr>
      </w:pPr>
      <w:r w:rsidRPr="001F3F91">
        <w:rPr>
          <w:rFonts w:ascii="Times New Roman" w:hAnsi="Times New Roman" w:cs="Times New Roman"/>
          <w:b/>
          <w:i/>
          <w:color w:val="auto"/>
          <w:kern w:val="1"/>
        </w:rPr>
        <w:t>Név</w:t>
      </w:r>
      <w:proofErr w:type="gramStart"/>
      <w:r w:rsidRPr="001F3F91">
        <w:rPr>
          <w:rFonts w:ascii="Times New Roman" w:hAnsi="Times New Roman" w:cs="Times New Roman"/>
          <w:b/>
          <w:i/>
          <w:color w:val="auto"/>
          <w:kern w:val="1"/>
        </w:rPr>
        <w:t>.:</w:t>
      </w:r>
      <w:proofErr w:type="gramEnd"/>
    </w:p>
    <w:p w:rsidR="006946C7" w:rsidRDefault="006946C7" w:rsidP="006946C7">
      <w:pPr>
        <w:pStyle w:val="Default"/>
        <w:ind w:left="5664"/>
        <w:jc w:val="both"/>
        <w:outlineLvl w:val="0"/>
        <w:rPr>
          <w:rFonts w:ascii="Times New Roman" w:hAnsi="Times New Roman" w:cs="Times New Roman"/>
          <w:b/>
          <w:i/>
          <w:color w:val="auto"/>
          <w:kern w:val="1"/>
        </w:rPr>
      </w:pPr>
      <w:proofErr w:type="spellStart"/>
      <w:r w:rsidRPr="001F3F91">
        <w:rPr>
          <w:rFonts w:ascii="Times New Roman" w:hAnsi="Times New Roman" w:cs="Times New Roman"/>
          <w:b/>
          <w:i/>
          <w:color w:val="auto"/>
          <w:kern w:val="1"/>
        </w:rPr>
        <w:t>Szül</w:t>
      </w:r>
      <w:proofErr w:type="gramStart"/>
      <w:r>
        <w:rPr>
          <w:rFonts w:ascii="Times New Roman" w:hAnsi="Times New Roman" w:cs="Times New Roman"/>
          <w:b/>
          <w:i/>
          <w:color w:val="auto"/>
          <w:kern w:val="1"/>
        </w:rPr>
        <w:t>.hely</w:t>
      </w:r>
      <w:proofErr w:type="spellEnd"/>
      <w:proofErr w:type="gramEnd"/>
      <w:r>
        <w:rPr>
          <w:rFonts w:ascii="Times New Roman" w:hAnsi="Times New Roman" w:cs="Times New Roman"/>
          <w:b/>
          <w:i/>
          <w:color w:val="auto"/>
          <w:kern w:val="1"/>
        </w:rPr>
        <w:t xml:space="preserve"> idő:</w:t>
      </w:r>
    </w:p>
    <w:p w:rsidR="006946C7" w:rsidRPr="00FC3C0C" w:rsidRDefault="006946C7" w:rsidP="006946C7">
      <w:pPr>
        <w:pStyle w:val="Default"/>
        <w:ind w:left="5664"/>
        <w:jc w:val="both"/>
        <w:outlineLvl w:val="0"/>
        <w:rPr>
          <w:rFonts w:ascii="Times New Roman" w:hAnsi="Times New Roman" w:cs="Times New Roman"/>
          <w:b/>
          <w:i/>
          <w:color w:val="auto"/>
          <w:kern w:val="1"/>
        </w:rPr>
      </w:pPr>
      <w:r>
        <w:rPr>
          <w:rFonts w:ascii="Times New Roman" w:hAnsi="Times New Roman" w:cs="Times New Roman"/>
          <w:b/>
          <w:i/>
          <w:color w:val="auto"/>
          <w:kern w:val="1"/>
        </w:rPr>
        <w:t>Lakcím:</w:t>
      </w:r>
    </w:p>
    <w:p w:rsidR="006946C7" w:rsidRPr="0021580A" w:rsidRDefault="006946C7" w:rsidP="006946C7">
      <w:pPr>
        <w:pStyle w:val="Default"/>
        <w:spacing w:after="120"/>
        <w:ind w:left="5664"/>
        <w:jc w:val="both"/>
        <w:outlineLvl w:val="0"/>
        <w:rPr>
          <w:rFonts w:ascii="Times New Roman" w:hAnsi="Times New Roman" w:cs="Times New Roman"/>
          <w:b/>
          <w:i/>
          <w:color w:val="auto"/>
          <w:kern w:val="1"/>
          <w:sz w:val="22"/>
          <w:szCs w:val="22"/>
        </w:rPr>
      </w:pPr>
      <w:r>
        <w:rPr>
          <w:rFonts w:ascii="Times New Roman" w:hAnsi="Times New Roman" w:cs="Times New Roman"/>
          <w:b/>
          <w:i/>
          <w:color w:val="auto"/>
          <w:kern w:val="1"/>
          <w:sz w:val="22"/>
          <w:szCs w:val="22"/>
        </w:rPr>
        <w:t xml:space="preserve">  </w:t>
      </w:r>
    </w:p>
    <w:p w:rsidR="00DD0E7F" w:rsidRPr="0021580A" w:rsidRDefault="00FC3C0C" w:rsidP="002E0785">
      <w:pPr>
        <w:pStyle w:val="Default"/>
        <w:spacing w:after="120"/>
        <w:ind w:left="5664"/>
        <w:jc w:val="both"/>
        <w:outlineLvl w:val="0"/>
        <w:rPr>
          <w:rFonts w:ascii="Times New Roman" w:hAnsi="Times New Roman" w:cs="Times New Roman"/>
          <w:b/>
          <w:i/>
          <w:color w:val="auto"/>
          <w:kern w:val="1"/>
          <w:sz w:val="22"/>
          <w:szCs w:val="22"/>
        </w:rPr>
      </w:pPr>
      <w:r w:rsidRPr="0021580A">
        <w:rPr>
          <w:rFonts w:ascii="Times New Roman" w:hAnsi="Times New Roman" w:cs="Times New Roman"/>
          <w:b/>
          <w:i/>
          <w:color w:val="auto"/>
          <w:kern w:val="1"/>
          <w:sz w:val="22"/>
          <w:szCs w:val="22"/>
        </w:rPr>
        <w:t xml:space="preserve">Tárgy: </w:t>
      </w:r>
      <w:r w:rsidR="0021580A" w:rsidRPr="0021580A">
        <w:rPr>
          <w:rFonts w:ascii="Times New Roman" w:hAnsi="Times New Roman" w:cs="Times New Roman"/>
          <w:b/>
          <w:i/>
          <w:color w:val="auto"/>
          <w:kern w:val="1"/>
          <w:sz w:val="22"/>
          <w:szCs w:val="22"/>
        </w:rPr>
        <w:t>Fogyasztói panasz bejelentése</w:t>
      </w:r>
      <w:r w:rsidR="002E0785">
        <w:rPr>
          <w:rFonts w:ascii="Times New Roman" w:hAnsi="Times New Roman" w:cs="Times New Roman"/>
          <w:b/>
          <w:i/>
          <w:color w:val="auto"/>
          <w:kern w:val="1"/>
          <w:sz w:val="22"/>
          <w:szCs w:val="22"/>
        </w:rPr>
        <w:t xml:space="preserve">        </w:t>
      </w:r>
    </w:p>
    <w:p w:rsidR="008527BE" w:rsidRDefault="008527BE" w:rsidP="007D0759">
      <w:pPr>
        <w:pStyle w:val="Default"/>
        <w:tabs>
          <w:tab w:val="left" w:pos="5835"/>
        </w:tabs>
        <w:spacing w:after="240"/>
        <w:jc w:val="both"/>
        <w:outlineLvl w:val="0"/>
        <w:rPr>
          <w:rFonts w:ascii="Times New Roman" w:hAnsi="Times New Roman" w:cs="Times New Roman"/>
          <w:kern w:val="1"/>
        </w:rPr>
      </w:pPr>
    </w:p>
    <w:p w:rsidR="00CB14D4" w:rsidRDefault="00692EA3" w:rsidP="007D0759">
      <w:pPr>
        <w:pStyle w:val="Default"/>
        <w:tabs>
          <w:tab w:val="left" w:pos="5835"/>
        </w:tabs>
        <w:spacing w:after="240"/>
        <w:jc w:val="both"/>
        <w:outlineLvl w:val="0"/>
        <w:rPr>
          <w:rFonts w:ascii="Times New Roman" w:hAnsi="Times New Roman" w:cs="Times New Roman"/>
          <w:kern w:val="1"/>
        </w:rPr>
      </w:pPr>
      <w:r w:rsidRPr="00FC3C0C">
        <w:rPr>
          <w:rFonts w:ascii="Times New Roman" w:hAnsi="Times New Roman" w:cs="Times New Roman"/>
          <w:kern w:val="1"/>
        </w:rPr>
        <w:t>Tisztelt Címzett</w:t>
      </w:r>
      <w:r w:rsidR="00CB14D4" w:rsidRPr="00FC3C0C">
        <w:rPr>
          <w:rFonts w:ascii="Times New Roman" w:hAnsi="Times New Roman" w:cs="Times New Roman"/>
          <w:kern w:val="1"/>
        </w:rPr>
        <w:t>!</w:t>
      </w:r>
      <w:r w:rsidR="007D0759">
        <w:rPr>
          <w:rFonts w:ascii="Times New Roman" w:hAnsi="Times New Roman" w:cs="Times New Roman"/>
          <w:kern w:val="1"/>
        </w:rPr>
        <w:tab/>
      </w:r>
    </w:p>
    <w:p w:rsidR="003300BA" w:rsidRPr="00FC3C0C" w:rsidRDefault="003300BA" w:rsidP="00213111">
      <w:pPr>
        <w:pStyle w:val="Default"/>
        <w:spacing w:after="240"/>
        <w:jc w:val="both"/>
        <w:outlineLvl w:val="0"/>
        <w:rPr>
          <w:rFonts w:ascii="Times New Roman" w:hAnsi="Times New Roman" w:cs="Times New Roman"/>
          <w:color w:val="auto"/>
          <w:kern w:val="1"/>
        </w:rPr>
      </w:pPr>
      <w:r w:rsidRPr="003300BA">
        <w:rPr>
          <w:rFonts w:ascii="Times New Roman" w:hAnsi="Times New Roman" w:cs="Times New Roman"/>
          <w:color w:val="auto"/>
          <w:kern w:val="1"/>
        </w:rPr>
        <w:t>Deviza alapú hitelszerződés gépjármű vásárlásához kölcsönszerződésem</w:t>
      </w:r>
      <w:r w:rsidR="007D0759">
        <w:rPr>
          <w:rFonts w:ascii="Times New Roman" w:hAnsi="Times New Roman" w:cs="Times New Roman"/>
          <w:color w:val="auto"/>
          <w:kern w:val="1"/>
        </w:rPr>
        <w:t>mel</w:t>
      </w:r>
      <w:r w:rsidR="008B3AD9">
        <w:rPr>
          <w:rFonts w:ascii="Times New Roman" w:hAnsi="Times New Roman" w:cs="Times New Roman"/>
          <w:color w:val="auto"/>
          <w:kern w:val="1"/>
        </w:rPr>
        <w:t xml:space="preserve"> </w:t>
      </w:r>
      <w:r w:rsidRPr="003300BA">
        <w:rPr>
          <w:rFonts w:ascii="Times New Roman" w:hAnsi="Times New Roman" w:cs="Times New Roman"/>
          <w:color w:val="auto"/>
          <w:kern w:val="1"/>
        </w:rPr>
        <w:t>kapcsolatban ír</w:t>
      </w:r>
      <w:r w:rsidR="002E0785">
        <w:rPr>
          <w:rFonts w:ascii="Times New Roman" w:hAnsi="Times New Roman" w:cs="Times New Roman"/>
          <w:color w:val="auto"/>
          <w:kern w:val="1"/>
        </w:rPr>
        <w:t>t</w:t>
      </w:r>
      <w:r w:rsidR="007D0759">
        <w:rPr>
          <w:rFonts w:ascii="Times New Roman" w:hAnsi="Times New Roman" w:cs="Times New Roman"/>
          <w:color w:val="auto"/>
          <w:kern w:val="1"/>
        </w:rPr>
        <w:t>ok</w:t>
      </w:r>
      <w:r w:rsidR="002E0785">
        <w:rPr>
          <w:rFonts w:ascii="Times New Roman" w:hAnsi="Times New Roman" w:cs="Times New Roman"/>
          <w:color w:val="auto"/>
          <w:kern w:val="1"/>
        </w:rPr>
        <w:t xml:space="preserve"> </w:t>
      </w:r>
      <w:r w:rsidRPr="003300BA">
        <w:rPr>
          <w:rFonts w:ascii="Times New Roman" w:hAnsi="Times New Roman" w:cs="Times New Roman"/>
          <w:color w:val="auto"/>
          <w:kern w:val="1"/>
        </w:rPr>
        <w:t>Önöknek</w:t>
      </w:r>
      <w:r w:rsidR="006E307B">
        <w:rPr>
          <w:rFonts w:ascii="Times New Roman" w:hAnsi="Times New Roman" w:cs="Times New Roman"/>
          <w:color w:val="auto"/>
          <w:kern w:val="1"/>
        </w:rPr>
        <w:t>.</w:t>
      </w:r>
    </w:p>
    <w:p w:rsidR="00826E39" w:rsidRDefault="006946C7" w:rsidP="000375C0">
      <w:pPr>
        <w:jc w:val="both"/>
      </w:pPr>
      <w:r>
        <w:t>…</w:t>
      </w:r>
      <w:proofErr w:type="gramStart"/>
      <w:r>
        <w:t>…………….</w:t>
      </w:r>
      <w:r w:rsidR="0021580A" w:rsidRPr="0021580A">
        <w:t>.</w:t>
      </w:r>
      <w:proofErr w:type="gramEnd"/>
      <w:r w:rsidR="0021580A" w:rsidRPr="0021580A">
        <w:t xml:space="preserve"> </w:t>
      </w:r>
      <w:r w:rsidR="00692EA3" w:rsidRPr="0021580A">
        <w:t>napján „K</w:t>
      </w:r>
      <w:r w:rsidR="00CB14D4" w:rsidRPr="0021580A">
        <w:t>ölcsön</w:t>
      </w:r>
      <w:r w:rsidR="00692EA3" w:rsidRPr="0021580A">
        <w:t>szerződés</w:t>
      </w:r>
      <w:r w:rsidR="00826E39">
        <w:t xml:space="preserve"> deviza alapú konstrukcióra</w:t>
      </w:r>
      <w:r w:rsidR="00692EA3" w:rsidRPr="0021580A">
        <w:t xml:space="preserve"> egyedi rész” megkötésére került sor közöttünk, mely termék megnevezése: pénzkölcsön nyújtása</w:t>
      </w:r>
      <w:r w:rsidR="00826E39">
        <w:t xml:space="preserve"> </w:t>
      </w:r>
      <w:r w:rsidR="00692EA3" w:rsidRPr="0021580A">
        <w:t>volt</w:t>
      </w:r>
      <w:r w:rsidR="00826E39">
        <w:t>.</w:t>
      </w:r>
    </w:p>
    <w:p w:rsidR="00F9066C" w:rsidRPr="00FC3C0C" w:rsidRDefault="00826E39" w:rsidP="000375C0">
      <w:pPr>
        <w:jc w:val="both"/>
      </w:pPr>
      <w:r w:rsidRPr="0021580A">
        <w:t xml:space="preserve"> </w:t>
      </w:r>
      <w:r w:rsidR="00F9066C" w:rsidRPr="00FC3C0C">
        <w:t xml:space="preserve"> </w:t>
      </w:r>
    </w:p>
    <w:p w:rsidR="00CB14D4" w:rsidRPr="00FC3C0C" w:rsidRDefault="00692EA3" w:rsidP="000375C0">
      <w:pPr>
        <w:jc w:val="both"/>
      </w:pPr>
      <w:r w:rsidRPr="00FC3C0C">
        <w:t xml:space="preserve">A kölcsön </w:t>
      </w:r>
      <w:proofErr w:type="gramStart"/>
      <w:r w:rsidRPr="00FC3C0C">
        <w:t>összege</w:t>
      </w:r>
      <w:r w:rsidR="00CB14D4" w:rsidRPr="00FC3C0C">
        <w:t xml:space="preserve"> </w:t>
      </w:r>
      <w:r w:rsidR="006946C7">
        <w:t>…</w:t>
      </w:r>
      <w:proofErr w:type="gramEnd"/>
      <w:r w:rsidR="006946C7">
        <w:t xml:space="preserve">……… </w:t>
      </w:r>
      <w:r w:rsidR="00CB14D4" w:rsidRPr="00FC3C0C">
        <w:t>Ft</w:t>
      </w:r>
      <w:r w:rsidR="00447A2B" w:rsidRPr="00FC3C0C">
        <w:t xml:space="preserve"> és járulékai, melyet</w:t>
      </w:r>
      <w:r w:rsidR="00CB14D4" w:rsidRPr="00FC3C0C">
        <w:t xml:space="preserve"> annak érdekében</w:t>
      </w:r>
      <w:r w:rsidR="00447A2B" w:rsidRPr="00FC3C0C">
        <w:t xml:space="preserve"> vettem igénybe</w:t>
      </w:r>
      <w:r w:rsidR="00826E39">
        <w:t xml:space="preserve">, hogy megvehessem a </w:t>
      </w:r>
      <w:r w:rsidR="006946C7">
        <w:t>…………………………..</w:t>
      </w:r>
      <w:r w:rsidR="00826E39">
        <w:t xml:space="preserve"> alvázszámú </w:t>
      </w:r>
      <w:r w:rsidR="00CB14D4" w:rsidRPr="00FC3C0C">
        <w:t xml:space="preserve">, </w:t>
      </w:r>
      <w:r w:rsidR="006946C7">
        <w:t>…………………</w:t>
      </w:r>
      <w:r w:rsidR="00826E39">
        <w:t xml:space="preserve"> </w:t>
      </w:r>
      <w:r w:rsidR="00CB14D4" w:rsidRPr="00FC3C0C">
        <w:t xml:space="preserve">típusú gépjárművet. </w:t>
      </w:r>
    </w:p>
    <w:p w:rsidR="007D0759" w:rsidRDefault="007D0759" w:rsidP="000375C0">
      <w:pPr>
        <w:jc w:val="both"/>
      </w:pPr>
    </w:p>
    <w:p w:rsidR="007D3EDA" w:rsidRDefault="007D3EDA" w:rsidP="000375C0">
      <w:pPr>
        <w:jc w:val="both"/>
      </w:pPr>
    </w:p>
    <w:p w:rsidR="007D3EDA" w:rsidRDefault="007D3EDA" w:rsidP="000375C0">
      <w:pPr>
        <w:jc w:val="both"/>
      </w:pPr>
      <w:r>
        <w:t xml:space="preserve">A kockázat feltáró nyilatkozattal </w:t>
      </w:r>
      <w:proofErr w:type="gramStart"/>
      <w:r>
        <w:t>kapcsolatban ,</w:t>
      </w:r>
      <w:proofErr w:type="gramEnd"/>
      <w:r>
        <w:t xml:space="preserve"> amelyet Önök elismertek, hogy nem került aláírásra jogegységi határozat van</w:t>
      </w:r>
      <w:r w:rsidR="006946C7">
        <w:t>,</w:t>
      </w:r>
      <w:r>
        <w:t xml:space="preserve"> amely alapján a szerződés </w:t>
      </w:r>
      <w:r w:rsidR="004347C6">
        <w:t>tisztességtelen.</w:t>
      </w:r>
    </w:p>
    <w:p w:rsidR="004347C6" w:rsidRDefault="004347C6" w:rsidP="007D3EDA">
      <w:pPr>
        <w:jc w:val="both"/>
        <w:rPr>
          <w:b/>
          <w:bCs/>
        </w:rPr>
      </w:pPr>
    </w:p>
    <w:p w:rsidR="004347C6" w:rsidRDefault="004347C6" w:rsidP="007D3EDA">
      <w:pPr>
        <w:jc w:val="both"/>
        <w:rPr>
          <w:b/>
          <w:bCs/>
        </w:rPr>
      </w:pPr>
    </w:p>
    <w:p w:rsidR="007D3EDA" w:rsidRPr="007D3EDA" w:rsidRDefault="007D3EDA" w:rsidP="007D3EDA">
      <w:pPr>
        <w:jc w:val="both"/>
      </w:pPr>
      <w:r w:rsidRPr="007D3EDA">
        <w:rPr>
          <w:b/>
          <w:bCs/>
        </w:rPr>
        <w:t>KÚRIA</w:t>
      </w:r>
      <w:r w:rsidR="004347C6">
        <w:rPr>
          <w:b/>
          <w:bCs/>
        </w:rPr>
        <w:t xml:space="preserve"> </w:t>
      </w:r>
      <w:r w:rsidRPr="007D3EDA">
        <w:rPr>
          <w:b/>
          <w:bCs/>
        </w:rPr>
        <w:t>2/2014.PJE</w:t>
      </w:r>
    </w:p>
    <w:p w:rsidR="007D3EDA" w:rsidRPr="007D3EDA" w:rsidRDefault="007D3EDA" w:rsidP="007D3EDA">
      <w:pPr>
        <w:jc w:val="both"/>
      </w:pPr>
      <w:r w:rsidRPr="007D3EDA">
        <w:t xml:space="preserve">A Kúria Polgári Kollégiuma a </w:t>
      </w:r>
      <w:r w:rsidRPr="007D3EDA">
        <w:rPr>
          <w:b/>
        </w:rPr>
        <w:t>deviza alapú</w:t>
      </w:r>
      <w:r w:rsidRPr="007D3EDA">
        <w:t xml:space="preserve"> fogyasztói kölcsönszerződések (értve </w:t>
      </w:r>
      <w:proofErr w:type="gramStart"/>
      <w:r w:rsidRPr="007D3EDA">
        <w:t>ezalatt</w:t>
      </w:r>
      <w:proofErr w:type="gramEnd"/>
      <w:r w:rsidRPr="007D3EDA">
        <w:t xml:space="preserve"> a hitel-, </w:t>
      </w:r>
      <w:r w:rsidRPr="007D3EDA">
        <w:rPr>
          <w:b/>
        </w:rPr>
        <w:t>kölcsön</w:t>
      </w:r>
      <w:r w:rsidRPr="007D3EDA">
        <w:t>- és pénzügyi lízingszerződéseket) egyes rendelkezéseinek - a 6/2013. PJE által el nem bírált - tisztességtelensége tárgyában a bíróságok szervezetéről és igazgatásáról szóló 2011. évi CLXI. törvény. (</w:t>
      </w:r>
      <w:proofErr w:type="spellStart"/>
      <w:r w:rsidRPr="007D3EDA">
        <w:t>Bszi</w:t>
      </w:r>
      <w:proofErr w:type="spellEnd"/>
      <w:r w:rsidRPr="007D3EDA">
        <w:t>.) 34. § (4) bekezdésének b) pontja alapján jogegységi tanácsként eljárva a joggyakorlat továbbfejlesztése érdekében meghozta a következő</w:t>
      </w:r>
    </w:p>
    <w:p w:rsidR="007D3EDA" w:rsidRPr="007D3EDA" w:rsidRDefault="007D3EDA" w:rsidP="007D3EDA">
      <w:pPr>
        <w:jc w:val="both"/>
      </w:pPr>
      <w:proofErr w:type="gramStart"/>
      <w:r w:rsidRPr="007D3EDA">
        <w:rPr>
          <w:b/>
          <w:bCs/>
        </w:rPr>
        <w:t>jogegységi</w:t>
      </w:r>
      <w:proofErr w:type="gramEnd"/>
      <w:r w:rsidRPr="007D3EDA">
        <w:rPr>
          <w:b/>
          <w:bCs/>
        </w:rPr>
        <w:t xml:space="preserve"> határozatot:</w:t>
      </w:r>
    </w:p>
    <w:p w:rsidR="0028451A" w:rsidRDefault="0028451A" w:rsidP="0028451A">
      <w:pPr>
        <w:jc w:val="both"/>
      </w:pPr>
    </w:p>
    <w:p w:rsidR="004347C6" w:rsidRDefault="004347C6" w:rsidP="0028451A">
      <w:pPr>
        <w:jc w:val="both"/>
      </w:pPr>
    </w:p>
    <w:p w:rsidR="004347C6" w:rsidRPr="004347C6" w:rsidRDefault="004347C6" w:rsidP="004347C6">
      <w:pPr>
        <w:jc w:val="both"/>
      </w:pPr>
      <w:r w:rsidRPr="004347C6">
        <w:t xml:space="preserve">Az, hogy az adott szerződés árfolyamkockázatra vonatkozó rendelkezése világos, ill. érthető-e, annak ellenére vizsgálható, hogy a deviza alapú fogyasztói kölcsönszerződések túlnyomó többségét a </w:t>
      </w:r>
      <w:proofErr w:type="spellStart"/>
      <w:r w:rsidRPr="004347C6">
        <w:t>Ptk.-nak</w:t>
      </w:r>
      <w:proofErr w:type="spellEnd"/>
      <w:r w:rsidRPr="004347C6">
        <w:t xml:space="preserve"> a 2009. évi XXXI. törvénnyel történt módosítása előtt  kötötték meg. A 2009. május 22-től hatályos hivatkozott módosítással ugyanis a szerződéskötések idején az 1994. évi I. törvénnyel kihirdetett Társulási Megállapodás, illetve az Európai Unióhoz való csatlakozás folytán már Magyarországon is irányadó Irányelv rendelkezései kerültek átültetésre. A módosított szabályozás épp az Irányelv rendelkezéseire tekintettel a Ptk. 209. § </w:t>
      </w:r>
      <w:r w:rsidRPr="004347C6">
        <w:lastRenderedPageBreak/>
        <w:t>(4) bekezdéseként egy olyan rendelkezést iktatott be, mely szerint: „az általános szerződési feltétel és a fogyasztói szerződésben egyedileg meg nem tárgyalt feltétel tisztességtelenségét önmagában az is megalapozza, ha a feltétel nem világos vagy nem érthető”. Az Európai Unió Bírósága által a C-26/13. számú ítéletben kifejtettekből is következően a nemzeti bíróság a nemzeti jogrend valamennyi szabályát köteles figyelembe venni, és amennyire csak lehetséges, az adott területen alkalmazandó irányelv szövegének és céljának megfelelően értelmezni oly</w:t>
      </w:r>
      <w:r>
        <w:t xml:space="preserve"> </w:t>
      </w:r>
      <w:r w:rsidRPr="004347C6">
        <w:t xml:space="preserve">módon, hogy az Irányelv által követett céllal összhangban álló eredményre jusson, kivéve, ha az </w:t>
      </w:r>
      <w:proofErr w:type="spellStart"/>
      <w:r w:rsidRPr="004347C6">
        <w:t>contra</w:t>
      </w:r>
      <w:proofErr w:type="spellEnd"/>
      <w:r w:rsidRPr="004347C6">
        <w:t xml:space="preserve"> legem jogértelmezéshez vezetne (64. és 65. pontjai). Tekintve, hogy a magyar jog egyetlen 2009. május </w:t>
      </w:r>
      <w:proofErr w:type="gramStart"/>
      <w:r w:rsidRPr="004347C6">
        <w:t>22-e előtti</w:t>
      </w:r>
      <w:proofErr w:type="gramEnd"/>
      <w:r w:rsidRPr="004347C6">
        <w:t xml:space="preserve"> szabályából sem vezethető le, hogy a nem megfelelően átültetett Irányelv érthetőségre, világosságra vonatkozó szabályai nem alkalmazhatóak, ezért az Irányelv alapján kell a vonatkozó szabályokat értelmezni. </w:t>
      </w:r>
    </w:p>
    <w:p w:rsidR="004347C6" w:rsidRPr="004347C6" w:rsidRDefault="004347C6" w:rsidP="004347C6">
      <w:pPr>
        <w:ind w:firstLine="708"/>
        <w:jc w:val="both"/>
      </w:pPr>
      <w:r w:rsidRPr="004347C6">
        <w:t xml:space="preserve">Vizsgálni szükséges tehát, hogy az adott konstrukció egyik lényegi eleme, az árfolyamkockázat fogyasztók általi viselése világos, érthető szerződési feltétel volt-e. </w:t>
      </w:r>
    </w:p>
    <w:p w:rsidR="004347C6" w:rsidRPr="004347C6" w:rsidRDefault="004347C6" w:rsidP="004347C6">
      <w:pPr>
        <w:jc w:val="both"/>
      </w:pPr>
      <w:r w:rsidRPr="004347C6">
        <w:t>A Ptk. 205. §</w:t>
      </w:r>
      <w:proofErr w:type="spellStart"/>
      <w:r w:rsidRPr="004347C6">
        <w:t>-ának</w:t>
      </w:r>
      <w:proofErr w:type="spellEnd"/>
      <w:r w:rsidRPr="004347C6">
        <w:t xml:space="preserve"> (3) bekezdése értelmében a felek a szerződés megkötésénél együttműködni kötelesek, és tájékoztatniuk kell egymást a megkötendő szerződést érintő minden lényeges körülményről. Ezt az általános együttműködési és tájékoztatási kötelezettséget fogyasztónak minősülő ügyféllel kötendő devizahitel nyújtására irányuló szerződés esetén – ide nem értve a pénzügyi lízingszerződést - a jelenleg már nem hatályos 1996. évi CXII. törvény (Hpt.) 203. §</w:t>
      </w:r>
      <w:proofErr w:type="spellStart"/>
      <w:r w:rsidRPr="004347C6">
        <w:t>-</w:t>
      </w:r>
      <w:proofErr w:type="gramStart"/>
      <w:r w:rsidRPr="004347C6">
        <w:t>a</w:t>
      </w:r>
      <w:proofErr w:type="spellEnd"/>
      <w:proofErr w:type="gramEnd"/>
      <w:r w:rsidRPr="004347C6">
        <w:t xml:space="preserve"> akként konkretizálja, hogy a pénzügyi intézménynek fel kell tárnia a szerződéses ügyletben az ügyfelet érintő kockázatot, amelynek tudomásulvételét az ügyfél aláírásával igazolja.</w:t>
      </w:r>
    </w:p>
    <w:p w:rsidR="004347C6" w:rsidRPr="004347C6" w:rsidRDefault="004347C6" w:rsidP="004347C6">
      <w:pPr>
        <w:jc w:val="both"/>
      </w:pPr>
      <w:r w:rsidRPr="004347C6">
        <w:t>E rendelkezéseken túlmenően alapvető jelentősége van az Európai Unió Bírósága által a C-26/13. számú ügyben hozott ítéletben kifejtett azon követelménynek, hogy a fogyasztó számára ténylegesen lehetőséget kell biztosítani a szerződés összes feltételének megismerésére (67. pont), és a szerződéskötés következményeinek megismerhetőségére (70. pont). A fogyasztó alatt nem a konkrét fogyasztó értendő, hanem az „általánosan tájékozott, ésszerűen figyelmes és körültekintő átlagos fogyasztó” (74. pont). Azt pedig, hogy az ekként értelmezett fogyasztó képes volt-e értékelni az árfolyam változás rá nézve esetlegesen hátrányos gazdasági következményeit is az Európai Unió Bírósága által a különnemű árfolyamok alkalmazása kapcsán kifejtettek analóg alkalmazásával kell megítélni. E szerint ezt „a releváns ténybeli elemek összességére tekintettel” kell megállapítani, vagyis ebből a szempontból nem csak a szerződés tartalmának, szövegének van jelentősége, hanem a szerződéskötés során „közzétett reklámnak és tájékoztatásnak” is (74. pont). Az irányelv 4. cikk (1) bekezdése, valamint az azt átültető Ptk. 209. § (2) bekezdése szerint is egy szerződési feltétel tisztességtelenségének megítélésekor a szerződés megkötésére vezető minden körülményt – így a kapott tájékoztatást is – figyelembe kell venni.</w:t>
      </w:r>
    </w:p>
    <w:p w:rsidR="004347C6" w:rsidRPr="004347C6" w:rsidRDefault="004347C6" w:rsidP="004347C6">
      <w:pPr>
        <w:jc w:val="both"/>
      </w:pPr>
      <w:r w:rsidRPr="004347C6">
        <w:t xml:space="preserve">Abban az esetben, ha a szerződés szövegéből és a pénzügyi intézmény által nyújtott tájékoztatásból egyértelműen  felismerhető volt az „átlagos fogyasztó” mércéjén keresztül megítélt konkrét fogyasztó számára, hogy az árfolyamkockázat korlátozás nélkül kizárólag őt terheli, és hogy az árfolyam rá nézve kedvezőtlen változásának nincs felső határa, a vizsgált kikötés tisztességtelenségét a Ptk. 209. § (5) bekezdésében foglaltakra tekintettel nem lehet megállapítani. </w:t>
      </w:r>
      <w:r w:rsidRPr="004347C6">
        <w:br/>
      </w:r>
      <w:r w:rsidRPr="00F3080E">
        <w:rPr>
          <w:b/>
        </w:rPr>
        <w:t>Amennyiben tehát a fogyasztó a jogszabály által előírt tájékoztatást megkapta, a kockázat feltáró nyilatkozatot  aláírta</w:t>
      </w:r>
      <w:r w:rsidRPr="004347C6">
        <w:t>, akkor azt – az ellenkező bizonyításáig - úgy kell értékelni, hogy az árfolyamkockázat korlátozás nélkül őt terhelő volta számára világos és érthető volt, illetve annak kellett lennie. A pénzügyi intézménynek kell bizonyítania, hogy a fogyasztó tájékoztatása ilyen módon megtörtént.</w:t>
      </w:r>
    </w:p>
    <w:p w:rsidR="004347C6" w:rsidRPr="004347C6" w:rsidRDefault="004347C6" w:rsidP="004347C6">
      <w:pPr>
        <w:ind w:firstLine="708"/>
        <w:jc w:val="both"/>
        <w:rPr>
          <w:b/>
        </w:rPr>
      </w:pPr>
      <w:r w:rsidRPr="004347C6">
        <w:rPr>
          <w:b/>
        </w:rPr>
        <w:t>Amennyiben azonban az árfolyamkockázat korlátlan  viselésének szerződési rendelkezése a fogyasztó számára a pénzügyi intézménynek felróható okból nem volt világosan felismerhető, illetve érthető, fennállnak a szerződés tisztességtelensége megállapításának a feltételei.</w:t>
      </w:r>
    </w:p>
    <w:p w:rsidR="004347C6" w:rsidRPr="004347C6" w:rsidRDefault="004347C6" w:rsidP="004347C6">
      <w:pPr>
        <w:jc w:val="both"/>
      </w:pPr>
      <w:r w:rsidRPr="004347C6">
        <w:lastRenderedPageBreak/>
        <w:t>Előfordulhatott ugyanis, hogy a szerződés egyértelmű megfogalmazása, a megfelelő tartalmú kockázatfeltáró nyilatkozat ellenére a szerződéskötés során a pénzügyi intézménytől kapott tájékoztatás alapján a fogyasztó alappal gondolhatta úgy, hogy az általa viselendő árfolyamkockázat nem valós, annak nincs reális valószínűsége, vagy  az bizonyos mértékben korlátozott (van egy maximuma). Ez a helyzet akkor, ha a fogyasztó az árfolyamváltozás várható alakulásáról, maximális mértékéről a pénzügyi intézménytől, annak képviselőjétől konkrét, hitelt érdemlőnek tűnő, később azonban tévesnek, valótlannak bizonyult tájékoztatást kapott. Ebben az esetben a szerződés a nem megfelelő (téves, félreérthető, nem egyértelmű) tájékoztatással érintett rendelkezése tisztességtelen, amely a szerződés részleges vagy teljes érvénytelenségét eredményezi.</w:t>
      </w:r>
      <w:r w:rsidRPr="004347C6">
        <w:br/>
        <w:t xml:space="preserve">A nem megfelelő tájékoztatás tényét és azt, hogy ennek következtében a szerződés árfolyamkockázatra vonatkozó rendelkezése számára nem volt világos és érthető, a fogyasztónak kell bizonyítania. </w:t>
      </w:r>
    </w:p>
    <w:p w:rsidR="004347C6" w:rsidRDefault="004347C6" w:rsidP="0028451A">
      <w:pPr>
        <w:jc w:val="both"/>
      </w:pPr>
    </w:p>
    <w:p w:rsidR="004347C6" w:rsidRDefault="004347C6" w:rsidP="0028451A">
      <w:pPr>
        <w:jc w:val="both"/>
      </w:pPr>
    </w:p>
    <w:p w:rsidR="0028451A" w:rsidRPr="006946C7" w:rsidRDefault="0028451A" w:rsidP="004347C6">
      <w:pPr>
        <w:ind w:firstLine="708"/>
        <w:jc w:val="both"/>
        <w:rPr>
          <w:b/>
        </w:rPr>
      </w:pPr>
      <w:r w:rsidRPr="006946C7">
        <w:rPr>
          <w:b/>
        </w:rPr>
        <w:t>A kockázat feltáró nyilatkozatot az ügyfélnek alá kell írni, ezért az ÁSZF apró betűs részében nem lehet elrejteni a Kúria a 2/2014-es, június 16-ai jogegységi határozata alapján.</w:t>
      </w:r>
    </w:p>
    <w:p w:rsidR="00D07CA2" w:rsidRPr="006946C7" w:rsidRDefault="00D07CA2" w:rsidP="00204BD1">
      <w:pPr>
        <w:jc w:val="both"/>
        <w:rPr>
          <w:b/>
        </w:rPr>
      </w:pPr>
    </w:p>
    <w:p w:rsidR="00D07CA2" w:rsidRDefault="00D07CA2" w:rsidP="00204BD1">
      <w:pPr>
        <w:jc w:val="both"/>
      </w:pPr>
    </w:p>
    <w:p w:rsidR="004347C6" w:rsidRDefault="004347C6" w:rsidP="00204BD1">
      <w:pPr>
        <w:jc w:val="both"/>
      </w:pPr>
      <w:r>
        <w:t>A fent leírtak alapján megállapítható, hogy a kockázat feltáró nyilatkozat a deviza alapú hitel nyújtásánál is kötelező!</w:t>
      </w:r>
    </w:p>
    <w:p w:rsidR="004347C6" w:rsidRDefault="004347C6" w:rsidP="00204BD1">
      <w:pPr>
        <w:jc w:val="both"/>
      </w:pPr>
    </w:p>
    <w:p w:rsidR="004347C6" w:rsidRDefault="004347C6" w:rsidP="00204BD1">
      <w:pPr>
        <w:jc w:val="both"/>
      </w:pPr>
    </w:p>
    <w:p w:rsidR="00204BD1" w:rsidRDefault="006946C7" w:rsidP="00204BD1">
      <w:pPr>
        <w:jc w:val="both"/>
      </w:pPr>
      <w:r>
        <w:t>………………….</w:t>
      </w:r>
      <w:r w:rsidR="0084745C">
        <w:t>,  201</w:t>
      </w:r>
      <w:r w:rsidR="004347C6">
        <w:t>6</w:t>
      </w:r>
      <w:r>
        <w:t>………………..</w:t>
      </w:r>
      <w:r w:rsidR="00D07CA2">
        <w:t>.</w:t>
      </w:r>
    </w:p>
    <w:p w:rsidR="0084745C" w:rsidRDefault="0084745C" w:rsidP="00204BD1">
      <w:pPr>
        <w:jc w:val="both"/>
      </w:pPr>
    </w:p>
    <w:p w:rsidR="0084745C" w:rsidRDefault="0084745C" w:rsidP="00204BD1">
      <w:pPr>
        <w:jc w:val="both"/>
      </w:pPr>
      <w:r>
        <w:tab/>
      </w:r>
      <w:r>
        <w:tab/>
      </w:r>
      <w:r>
        <w:tab/>
      </w:r>
      <w:r>
        <w:tab/>
      </w:r>
      <w:r>
        <w:tab/>
      </w:r>
      <w:r>
        <w:tab/>
        <w:t xml:space="preserve">Tisztelettel. :  </w:t>
      </w:r>
    </w:p>
    <w:p w:rsidR="00204BD1" w:rsidRDefault="00204BD1" w:rsidP="00204BD1">
      <w:pPr>
        <w:jc w:val="both"/>
      </w:pPr>
    </w:p>
    <w:sectPr w:rsidR="00204BD1" w:rsidSect="00A9213E">
      <w:footerReference w:type="default" r:id="rId7"/>
      <w:pgSz w:w="11906" w:h="16838"/>
      <w:pgMar w:top="1135" w:right="1418" w:bottom="1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726" w:rsidRDefault="00112726" w:rsidP="00A9213E">
      <w:r>
        <w:separator/>
      </w:r>
    </w:p>
  </w:endnote>
  <w:endnote w:type="continuationSeparator" w:id="0">
    <w:p w:rsidR="00112726" w:rsidRDefault="00112726" w:rsidP="00A92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13E" w:rsidRDefault="00C4584D">
    <w:pPr>
      <w:pStyle w:val="llb"/>
      <w:jc w:val="center"/>
    </w:pPr>
    <w:r>
      <w:fldChar w:fldCharType="begin"/>
    </w:r>
    <w:r w:rsidR="00597E49">
      <w:instrText xml:space="preserve"> PAGE   \* MERGEFORMAT </w:instrText>
    </w:r>
    <w:r>
      <w:fldChar w:fldCharType="separate"/>
    </w:r>
    <w:r w:rsidR="006946C7">
      <w:rPr>
        <w:noProof/>
      </w:rPr>
      <w:t>1</w:t>
    </w:r>
    <w:r>
      <w:rPr>
        <w:noProof/>
      </w:rPr>
      <w:fldChar w:fldCharType="end"/>
    </w:r>
  </w:p>
  <w:p w:rsidR="00A9213E" w:rsidRDefault="00A9213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726" w:rsidRDefault="00112726" w:rsidP="00A9213E">
      <w:r>
        <w:separator/>
      </w:r>
    </w:p>
  </w:footnote>
  <w:footnote w:type="continuationSeparator" w:id="0">
    <w:p w:rsidR="00112726" w:rsidRDefault="00112726" w:rsidP="00A921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30A7"/>
    <w:multiLevelType w:val="hybridMultilevel"/>
    <w:tmpl w:val="4E22DE1E"/>
    <w:lvl w:ilvl="0" w:tplc="904AFF6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B8C193F"/>
    <w:multiLevelType w:val="hybridMultilevel"/>
    <w:tmpl w:val="0CB4ABB4"/>
    <w:lvl w:ilvl="0" w:tplc="EC9CA0BE">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595855CD"/>
    <w:multiLevelType w:val="hybridMultilevel"/>
    <w:tmpl w:val="DF02E17C"/>
    <w:lvl w:ilvl="0" w:tplc="DD324D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66096"/>
    <w:rsid w:val="0000429C"/>
    <w:rsid w:val="00021DE7"/>
    <w:rsid w:val="000266F8"/>
    <w:rsid w:val="000375C0"/>
    <w:rsid w:val="00047641"/>
    <w:rsid w:val="00064FD4"/>
    <w:rsid w:val="00066096"/>
    <w:rsid w:val="00070778"/>
    <w:rsid w:val="000A5307"/>
    <w:rsid w:val="000B4DC4"/>
    <w:rsid w:val="000C0DD7"/>
    <w:rsid w:val="000D6E1F"/>
    <w:rsid w:val="00112726"/>
    <w:rsid w:val="00143497"/>
    <w:rsid w:val="00145FBE"/>
    <w:rsid w:val="001741B5"/>
    <w:rsid w:val="001815E5"/>
    <w:rsid w:val="00191A66"/>
    <w:rsid w:val="001E09ED"/>
    <w:rsid w:val="001E59D2"/>
    <w:rsid w:val="00204BD1"/>
    <w:rsid w:val="00213111"/>
    <w:rsid w:val="00213256"/>
    <w:rsid w:val="002143BC"/>
    <w:rsid w:val="0021580A"/>
    <w:rsid w:val="002364A5"/>
    <w:rsid w:val="00253517"/>
    <w:rsid w:val="0028451A"/>
    <w:rsid w:val="00293E8C"/>
    <w:rsid w:val="002A0B9E"/>
    <w:rsid w:val="002B4A53"/>
    <w:rsid w:val="002E0785"/>
    <w:rsid w:val="003300BA"/>
    <w:rsid w:val="0038369D"/>
    <w:rsid w:val="00396505"/>
    <w:rsid w:val="003F0B92"/>
    <w:rsid w:val="00400052"/>
    <w:rsid w:val="00414840"/>
    <w:rsid w:val="0042190F"/>
    <w:rsid w:val="004347C6"/>
    <w:rsid w:val="00447A2B"/>
    <w:rsid w:val="00485267"/>
    <w:rsid w:val="004C51E3"/>
    <w:rsid w:val="00533300"/>
    <w:rsid w:val="0055602D"/>
    <w:rsid w:val="00597E49"/>
    <w:rsid w:val="006048AF"/>
    <w:rsid w:val="006153C6"/>
    <w:rsid w:val="00624B65"/>
    <w:rsid w:val="0068118F"/>
    <w:rsid w:val="00691929"/>
    <w:rsid w:val="00692EA3"/>
    <w:rsid w:val="006946C7"/>
    <w:rsid w:val="006D2C8E"/>
    <w:rsid w:val="006E307B"/>
    <w:rsid w:val="006E655E"/>
    <w:rsid w:val="007341D3"/>
    <w:rsid w:val="00782C63"/>
    <w:rsid w:val="00792C9A"/>
    <w:rsid w:val="007D0759"/>
    <w:rsid w:val="007D3EDA"/>
    <w:rsid w:val="007E667A"/>
    <w:rsid w:val="00803A81"/>
    <w:rsid w:val="008137AA"/>
    <w:rsid w:val="008151A2"/>
    <w:rsid w:val="00826E39"/>
    <w:rsid w:val="008310F9"/>
    <w:rsid w:val="00835263"/>
    <w:rsid w:val="00836FE2"/>
    <w:rsid w:val="0084745C"/>
    <w:rsid w:val="008527BE"/>
    <w:rsid w:val="00853791"/>
    <w:rsid w:val="008A532B"/>
    <w:rsid w:val="008B0491"/>
    <w:rsid w:val="008B0B6E"/>
    <w:rsid w:val="008B3AD9"/>
    <w:rsid w:val="008B4C78"/>
    <w:rsid w:val="008B6265"/>
    <w:rsid w:val="008D39E9"/>
    <w:rsid w:val="008E5F71"/>
    <w:rsid w:val="008F0991"/>
    <w:rsid w:val="0094158D"/>
    <w:rsid w:val="00947159"/>
    <w:rsid w:val="00951E3C"/>
    <w:rsid w:val="00994CDB"/>
    <w:rsid w:val="009A579E"/>
    <w:rsid w:val="009B0059"/>
    <w:rsid w:val="00A0102B"/>
    <w:rsid w:val="00A130B2"/>
    <w:rsid w:val="00A21B57"/>
    <w:rsid w:val="00A47EBA"/>
    <w:rsid w:val="00A72134"/>
    <w:rsid w:val="00A8517B"/>
    <w:rsid w:val="00A86AB0"/>
    <w:rsid w:val="00A9213E"/>
    <w:rsid w:val="00AA4ABE"/>
    <w:rsid w:val="00B330DC"/>
    <w:rsid w:val="00B335C2"/>
    <w:rsid w:val="00B953F3"/>
    <w:rsid w:val="00BB5886"/>
    <w:rsid w:val="00BD62DD"/>
    <w:rsid w:val="00BE5BD9"/>
    <w:rsid w:val="00C41FAE"/>
    <w:rsid w:val="00C4584D"/>
    <w:rsid w:val="00C568B9"/>
    <w:rsid w:val="00C66E7E"/>
    <w:rsid w:val="00C727DA"/>
    <w:rsid w:val="00C77DE1"/>
    <w:rsid w:val="00CB14D4"/>
    <w:rsid w:val="00CC3272"/>
    <w:rsid w:val="00CE4EDF"/>
    <w:rsid w:val="00D07CA2"/>
    <w:rsid w:val="00D31E8B"/>
    <w:rsid w:val="00D512C6"/>
    <w:rsid w:val="00D640D6"/>
    <w:rsid w:val="00DC60E7"/>
    <w:rsid w:val="00DD0E7F"/>
    <w:rsid w:val="00DE6AB7"/>
    <w:rsid w:val="00E27CF9"/>
    <w:rsid w:val="00E3555A"/>
    <w:rsid w:val="00E5119D"/>
    <w:rsid w:val="00E663A0"/>
    <w:rsid w:val="00EA17D5"/>
    <w:rsid w:val="00EA58D3"/>
    <w:rsid w:val="00EB5BF1"/>
    <w:rsid w:val="00EB7E3F"/>
    <w:rsid w:val="00EC5FE9"/>
    <w:rsid w:val="00EE3B9D"/>
    <w:rsid w:val="00EF412C"/>
    <w:rsid w:val="00F3080E"/>
    <w:rsid w:val="00F3488F"/>
    <w:rsid w:val="00F82A7B"/>
    <w:rsid w:val="00F9066C"/>
    <w:rsid w:val="00F906FA"/>
    <w:rsid w:val="00FB391F"/>
    <w:rsid w:val="00FC3C0C"/>
    <w:rsid w:val="00FD3FA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A8517B"/>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8B0B6E"/>
    <w:pPr>
      <w:widowControl w:val="0"/>
      <w:suppressAutoHyphens/>
      <w:jc w:val="both"/>
    </w:pPr>
    <w:rPr>
      <w:rFonts w:eastAsia="Lucida Sans Unicode"/>
      <w:sz w:val="22"/>
      <w:szCs w:val="20"/>
    </w:rPr>
  </w:style>
  <w:style w:type="paragraph" w:customStyle="1" w:styleId="Default">
    <w:name w:val="Default"/>
    <w:rsid w:val="00CB14D4"/>
    <w:pPr>
      <w:widowControl w:val="0"/>
      <w:autoSpaceDE w:val="0"/>
      <w:autoSpaceDN w:val="0"/>
      <w:adjustRightInd w:val="0"/>
    </w:pPr>
    <w:rPr>
      <w:rFonts w:ascii="Calibri" w:hAnsi="Calibri" w:cs="Calibri"/>
      <w:color w:val="000000"/>
      <w:sz w:val="24"/>
      <w:szCs w:val="24"/>
    </w:rPr>
  </w:style>
  <w:style w:type="paragraph" w:styleId="Dokumentumtrkp">
    <w:name w:val="Document Map"/>
    <w:basedOn w:val="Norml"/>
    <w:semiHidden/>
    <w:rsid w:val="00692EA3"/>
    <w:pPr>
      <w:shd w:val="clear" w:color="auto" w:fill="000080"/>
    </w:pPr>
    <w:rPr>
      <w:rFonts w:ascii="Tahoma" w:hAnsi="Tahoma" w:cs="Tahoma"/>
      <w:sz w:val="20"/>
      <w:szCs w:val="20"/>
    </w:rPr>
  </w:style>
  <w:style w:type="character" w:customStyle="1" w:styleId="apple-converted-space">
    <w:name w:val="apple-converted-space"/>
    <w:basedOn w:val="Bekezdsalapbettpusa"/>
    <w:rsid w:val="001E59D2"/>
  </w:style>
  <w:style w:type="character" w:styleId="Hiperhivatkozs">
    <w:name w:val="Hyperlink"/>
    <w:rsid w:val="001741B5"/>
    <w:rPr>
      <w:color w:val="0000FF"/>
      <w:u w:val="single"/>
    </w:rPr>
  </w:style>
  <w:style w:type="paragraph" w:styleId="lfej">
    <w:name w:val="header"/>
    <w:basedOn w:val="Norml"/>
    <w:link w:val="lfejChar"/>
    <w:rsid w:val="00A9213E"/>
    <w:pPr>
      <w:tabs>
        <w:tab w:val="center" w:pos="4536"/>
        <w:tab w:val="right" w:pos="9072"/>
      </w:tabs>
    </w:pPr>
  </w:style>
  <w:style w:type="character" w:customStyle="1" w:styleId="lfejChar">
    <w:name w:val="Élőfej Char"/>
    <w:basedOn w:val="Bekezdsalapbettpusa"/>
    <w:link w:val="lfej"/>
    <w:rsid w:val="00A9213E"/>
    <w:rPr>
      <w:sz w:val="24"/>
      <w:szCs w:val="24"/>
    </w:rPr>
  </w:style>
  <w:style w:type="paragraph" w:styleId="llb">
    <w:name w:val="footer"/>
    <w:basedOn w:val="Norml"/>
    <w:link w:val="llbChar"/>
    <w:uiPriority w:val="99"/>
    <w:rsid w:val="00A9213E"/>
    <w:pPr>
      <w:tabs>
        <w:tab w:val="center" w:pos="4536"/>
        <w:tab w:val="right" w:pos="9072"/>
      </w:tabs>
    </w:pPr>
  </w:style>
  <w:style w:type="character" w:customStyle="1" w:styleId="llbChar">
    <w:name w:val="Élőláb Char"/>
    <w:basedOn w:val="Bekezdsalapbettpusa"/>
    <w:link w:val="llb"/>
    <w:uiPriority w:val="99"/>
    <w:rsid w:val="00A9213E"/>
    <w:rPr>
      <w:sz w:val="24"/>
      <w:szCs w:val="24"/>
    </w:rPr>
  </w:style>
  <w:style w:type="paragraph" w:styleId="Buborkszveg">
    <w:name w:val="Balloon Text"/>
    <w:basedOn w:val="Norml"/>
    <w:link w:val="BuborkszvegChar"/>
    <w:rsid w:val="00BE5BD9"/>
    <w:rPr>
      <w:rFonts w:ascii="Tahoma" w:hAnsi="Tahoma" w:cs="Tahoma"/>
      <w:sz w:val="16"/>
      <w:szCs w:val="16"/>
    </w:rPr>
  </w:style>
  <w:style w:type="character" w:customStyle="1" w:styleId="BuborkszvegChar">
    <w:name w:val="Buborékszöveg Char"/>
    <w:basedOn w:val="Bekezdsalapbettpusa"/>
    <w:link w:val="Buborkszveg"/>
    <w:rsid w:val="00BE5BD9"/>
    <w:rPr>
      <w:rFonts w:ascii="Tahoma" w:hAnsi="Tahoma" w:cs="Tahoma"/>
      <w:sz w:val="16"/>
      <w:szCs w:val="16"/>
    </w:rPr>
  </w:style>
  <w:style w:type="paragraph" w:styleId="Listaszerbekezds">
    <w:name w:val="List Paragraph"/>
    <w:basedOn w:val="Norml"/>
    <w:uiPriority w:val="34"/>
    <w:qFormat/>
    <w:rsid w:val="00F348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A8517B"/>
    <w:rPr>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rsid w:val="008B0B6E"/>
    <w:pPr>
      <w:widowControl w:val="0"/>
      <w:suppressAutoHyphens/>
      <w:jc w:val="both"/>
    </w:pPr>
    <w:rPr>
      <w:rFonts w:eastAsia="Lucida Sans Unicode"/>
      <w:sz w:val="22"/>
      <w:szCs w:val="20"/>
    </w:rPr>
  </w:style>
  <w:style w:type="paragraph" w:customStyle="1" w:styleId="Default">
    <w:name w:val="Default"/>
    <w:rsid w:val="00CB14D4"/>
    <w:pPr>
      <w:widowControl w:val="0"/>
      <w:autoSpaceDE w:val="0"/>
      <w:autoSpaceDN w:val="0"/>
      <w:adjustRightInd w:val="0"/>
    </w:pPr>
    <w:rPr>
      <w:rFonts w:ascii="Calibri" w:hAnsi="Calibri" w:cs="Calibri"/>
      <w:color w:val="000000"/>
      <w:sz w:val="24"/>
      <w:szCs w:val="24"/>
    </w:rPr>
  </w:style>
  <w:style w:type="paragraph" w:styleId="Dokumentumtrkp">
    <w:name w:val="Document Map"/>
    <w:basedOn w:val="Norml"/>
    <w:semiHidden/>
    <w:rsid w:val="00692EA3"/>
    <w:pPr>
      <w:shd w:val="clear" w:color="auto" w:fill="000080"/>
    </w:pPr>
    <w:rPr>
      <w:rFonts w:ascii="Tahoma" w:hAnsi="Tahoma" w:cs="Tahoma"/>
      <w:sz w:val="20"/>
      <w:szCs w:val="20"/>
    </w:rPr>
  </w:style>
  <w:style w:type="character" w:customStyle="1" w:styleId="apple-converted-space">
    <w:name w:val="apple-converted-space"/>
    <w:basedOn w:val="Bekezdsalapbettpusa"/>
    <w:rsid w:val="001E59D2"/>
  </w:style>
  <w:style w:type="character" w:styleId="Hiperhivatkozs">
    <w:name w:val="Hyperlink"/>
    <w:rsid w:val="001741B5"/>
    <w:rPr>
      <w:color w:val="0000FF"/>
      <w:u w:val="single"/>
    </w:rPr>
  </w:style>
  <w:style w:type="paragraph" w:styleId="lfej">
    <w:name w:val="header"/>
    <w:basedOn w:val="Norml"/>
    <w:link w:val="lfejChar"/>
    <w:rsid w:val="00A9213E"/>
    <w:pPr>
      <w:tabs>
        <w:tab w:val="center" w:pos="4536"/>
        <w:tab w:val="right" w:pos="9072"/>
      </w:tabs>
    </w:pPr>
  </w:style>
  <w:style w:type="character" w:customStyle="1" w:styleId="lfejChar">
    <w:name w:val="Élőfej Char"/>
    <w:basedOn w:val="Bekezdsalapbettpusa"/>
    <w:link w:val="lfej"/>
    <w:rsid w:val="00A9213E"/>
    <w:rPr>
      <w:sz w:val="24"/>
      <w:szCs w:val="24"/>
    </w:rPr>
  </w:style>
  <w:style w:type="paragraph" w:styleId="llb">
    <w:name w:val="footer"/>
    <w:basedOn w:val="Norml"/>
    <w:link w:val="llbChar"/>
    <w:uiPriority w:val="99"/>
    <w:rsid w:val="00A9213E"/>
    <w:pPr>
      <w:tabs>
        <w:tab w:val="center" w:pos="4536"/>
        <w:tab w:val="right" w:pos="9072"/>
      </w:tabs>
    </w:pPr>
  </w:style>
  <w:style w:type="character" w:customStyle="1" w:styleId="llbChar">
    <w:name w:val="Élőláb Char"/>
    <w:basedOn w:val="Bekezdsalapbettpusa"/>
    <w:link w:val="llb"/>
    <w:uiPriority w:val="99"/>
    <w:rsid w:val="00A9213E"/>
    <w:rPr>
      <w:sz w:val="24"/>
      <w:szCs w:val="24"/>
    </w:rPr>
  </w:style>
  <w:style w:type="paragraph" w:styleId="Buborkszveg">
    <w:name w:val="Balloon Text"/>
    <w:basedOn w:val="Norml"/>
    <w:link w:val="BuborkszvegChar"/>
    <w:rsid w:val="00BE5BD9"/>
    <w:rPr>
      <w:rFonts w:ascii="Tahoma" w:hAnsi="Tahoma" w:cs="Tahoma"/>
      <w:sz w:val="16"/>
      <w:szCs w:val="16"/>
    </w:rPr>
  </w:style>
  <w:style w:type="character" w:customStyle="1" w:styleId="BuborkszvegChar">
    <w:name w:val="Buborékszöveg Char"/>
    <w:basedOn w:val="Bekezdsalapbettpusa"/>
    <w:link w:val="Buborkszveg"/>
    <w:rsid w:val="00BE5BD9"/>
    <w:rPr>
      <w:rFonts w:ascii="Tahoma" w:hAnsi="Tahoma" w:cs="Tahoma"/>
      <w:sz w:val="16"/>
      <w:szCs w:val="16"/>
    </w:rPr>
  </w:style>
  <w:style w:type="paragraph" w:styleId="Listaszerbekezds">
    <w:name w:val="List Paragraph"/>
    <w:basedOn w:val="Norml"/>
    <w:uiPriority w:val="34"/>
    <w:qFormat/>
    <w:rsid w:val="00F3488F"/>
    <w:pPr>
      <w:ind w:left="720"/>
      <w:contextualSpacing/>
    </w:pPr>
  </w:style>
</w:styles>
</file>

<file path=word/webSettings.xml><?xml version="1.0" encoding="utf-8"?>
<w:webSettings xmlns:r="http://schemas.openxmlformats.org/officeDocument/2006/relationships" xmlns:w="http://schemas.openxmlformats.org/wordprocessingml/2006/main">
  <w:divs>
    <w:div w:id="239095978">
      <w:bodyDiv w:val="1"/>
      <w:marLeft w:val="0"/>
      <w:marRight w:val="0"/>
      <w:marTop w:val="0"/>
      <w:marBottom w:val="0"/>
      <w:divBdr>
        <w:top w:val="none" w:sz="0" w:space="0" w:color="auto"/>
        <w:left w:val="none" w:sz="0" w:space="0" w:color="auto"/>
        <w:bottom w:val="none" w:sz="0" w:space="0" w:color="auto"/>
        <w:right w:val="none" w:sz="0" w:space="0" w:color="auto"/>
      </w:divBdr>
    </w:div>
    <w:div w:id="448937972">
      <w:bodyDiv w:val="1"/>
      <w:marLeft w:val="0"/>
      <w:marRight w:val="0"/>
      <w:marTop w:val="0"/>
      <w:marBottom w:val="0"/>
      <w:divBdr>
        <w:top w:val="none" w:sz="0" w:space="0" w:color="auto"/>
        <w:left w:val="none" w:sz="0" w:space="0" w:color="auto"/>
        <w:bottom w:val="none" w:sz="0" w:space="0" w:color="auto"/>
        <w:right w:val="none" w:sz="0" w:space="0" w:color="auto"/>
      </w:divBdr>
      <w:divsChild>
        <w:div w:id="504126951">
          <w:marLeft w:val="0"/>
          <w:marRight w:val="0"/>
          <w:marTop w:val="0"/>
          <w:marBottom w:val="0"/>
          <w:divBdr>
            <w:top w:val="none" w:sz="0" w:space="0" w:color="auto"/>
            <w:left w:val="none" w:sz="0" w:space="0" w:color="auto"/>
            <w:bottom w:val="none" w:sz="0" w:space="0" w:color="auto"/>
            <w:right w:val="none" w:sz="0" w:space="0" w:color="auto"/>
          </w:divBdr>
          <w:divsChild>
            <w:div w:id="1029450739">
              <w:marLeft w:val="0"/>
              <w:marRight w:val="0"/>
              <w:marTop w:val="0"/>
              <w:marBottom w:val="0"/>
              <w:divBdr>
                <w:top w:val="none" w:sz="0" w:space="0" w:color="auto"/>
                <w:left w:val="none" w:sz="0" w:space="0" w:color="auto"/>
                <w:bottom w:val="none" w:sz="0" w:space="0" w:color="auto"/>
                <w:right w:val="none" w:sz="0" w:space="0" w:color="auto"/>
              </w:divBdr>
              <w:divsChild>
                <w:div w:id="1393693452">
                  <w:marLeft w:val="0"/>
                  <w:marRight w:val="0"/>
                  <w:marTop w:val="0"/>
                  <w:marBottom w:val="0"/>
                  <w:divBdr>
                    <w:top w:val="none" w:sz="0" w:space="0" w:color="auto"/>
                    <w:left w:val="none" w:sz="0" w:space="0" w:color="auto"/>
                    <w:bottom w:val="none" w:sz="0" w:space="0" w:color="auto"/>
                    <w:right w:val="none" w:sz="0" w:space="0" w:color="auto"/>
                  </w:divBdr>
                  <w:divsChild>
                    <w:div w:id="1429305351">
                      <w:marLeft w:val="0"/>
                      <w:marRight w:val="0"/>
                      <w:marTop w:val="0"/>
                      <w:marBottom w:val="0"/>
                      <w:divBdr>
                        <w:top w:val="none" w:sz="0" w:space="0" w:color="auto"/>
                        <w:left w:val="none" w:sz="0" w:space="0" w:color="auto"/>
                        <w:bottom w:val="none" w:sz="0" w:space="0" w:color="auto"/>
                        <w:right w:val="none" w:sz="0" w:space="0" w:color="auto"/>
                      </w:divBdr>
                      <w:divsChild>
                        <w:div w:id="303848643">
                          <w:marLeft w:val="0"/>
                          <w:marRight w:val="0"/>
                          <w:marTop w:val="0"/>
                          <w:marBottom w:val="0"/>
                          <w:divBdr>
                            <w:top w:val="none" w:sz="0" w:space="0" w:color="auto"/>
                            <w:left w:val="none" w:sz="0" w:space="0" w:color="auto"/>
                            <w:bottom w:val="none" w:sz="0" w:space="0" w:color="auto"/>
                            <w:right w:val="none" w:sz="0" w:space="0" w:color="auto"/>
                          </w:divBdr>
                          <w:divsChild>
                            <w:div w:id="19258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531278">
      <w:bodyDiv w:val="1"/>
      <w:marLeft w:val="0"/>
      <w:marRight w:val="0"/>
      <w:marTop w:val="0"/>
      <w:marBottom w:val="0"/>
      <w:divBdr>
        <w:top w:val="none" w:sz="0" w:space="0" w:color="auto"/>
        <w:left w:val="none" w:sz="0" w:space="0" w:color="auto"/>
        <w:bottom w:val="none" w:sz="0" w:space="0" w:color="auto"/>
        <w:right w:val="none" w:sz="0" w:space="0" w:color="auto"/>
      </w:divBdr>
      <w:divsChild>
        <w:div w:id="1256285989">
          <w:marLeft w:val="0"/>
          <w:marRight w:val="0"/>
          <w:marTop w:val="0"/>
          <w:marBottom w:val="0"/>
          <w:divBdr>
            <w:top w:val="none" w:sz="0" w:space="0" w:color="auto"/>
            <w:left w:val="none" w:sz="0" w:space="0" w:color="auto"/>
            <w:bottom w:val="none" w:sz="0" w:space="0" w:color="auto"/>
            <w:right w:val="none" w:sz="0" w:space="0" w:color="auto"/>
          </w:divBdr>
          <w:divsChild>
            <w:div w:id="946233282">
              <w:marLeft w:val="0"/>
              <w:marRight w:val="0"/>
              <w:marTop w:val="0"/>
              <w:marBottom w:val="0"/>
              <w:divBdr>
                <w:top w:val="none" w:sz="0" w:space="0" w:color="auto"/>
                <w:left w:val="none" w:sz="0" w:space="0" w:color="auto"/>
                <w:bottom w:val="none" w:sz="0" w:space="0" w:color="auto"/>
                <w:right w:val="none" w:sz="0" w:space="0" w:color="auto"/>
              </w:divBdr>
              <w:divsChild>
                <w:div w:id="7180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4143">
      <w:bodyDiv w:val="1"/>
      <w:marLeft w:val="0"/>
      <w:marRight w:val="0"/>
      <w:marTop w:val="0"/>
      <w:marBottom w:val="0"/>
      <w:divBdr>
        <w:top w:val="none" w:sz="0" w:space="0" w:color="auto"/>
        <w:left w:val="none" w:sz="0" w:space="0" w:color="auto"/>
        <w:bottom w:val="none" w:sz="0" w:space="0" w:color="auto"/>
        <w:right w:val="none" w:sz="0" w:space="0" w:color="auto"/>
      </w:divBdr>
      <w:divsChild>
        <w:div w:id="487747476">
          <w:marLeft w:val="0"/>
          <w:marRight w:val="0"/>
          <w:marTop w:val="0"/>
          <w:marBottom w:val="0"/>
          <w:divBdr>
            <w:top w:val="none" w:sz="0" w:space="0" w:color="auto"/>
            <w:left w:val="none" w:sz="0" w:space="0" w:color="auto"/>
            <w:bottom w:val="none" w:sz="0" w:space="0" w:color="auto"/>
            <w:right w:val="none" w:sz="0" w:space="0" w:color="auto"/>
          </w:divBdr>
          <w:divsChild>
            <w:div w:id="724138660">
              <w:marLeft w:val="0"/>
              <w:marRight w:val="0"/>
              <w:marTop w:val="0"/>
              <w:marBottom w:val="0"/>
              <w:divBdr>
                <w:top w:val="none" w:sz="0" w:space="0" w:color="auto"/>
                <w:left w:val="none" w:sz="0" w:space="0" w:color="auto"/>
                <w:bottom w:val="none" w:sz="0" w:space="0" w:color="auto"/>
                <w:right w:val="none" w:sz="0" w:space="0" w:color="auto"/>
              </w:divBdr>
              <w:divsChild>
                <w:div w:id="20316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09868">
      <w:bodyDiv w:val="1"/>
      <w:marLeft w:val="0"/>
      <w:marRight w:val="0"/>
      <w:marTop w:val="0"/>
      <w:marBottom w:val="0"/>
      <w:divBdr>
        <w:top w:val="none" w:sz="0" w:space="0" w:color="auto"/>
        <w:left w:val="none" w:sz="0" w:space="0" w:color="auto"/>
        <w:bottom w:val="none" w:sz="0" w:space="0" w:color="auto"/>
        <w:right w:val="none" w:sz="0" w:space="0" w:color="auto"/>
      </w:divBdr>
    </w:div>
    <w:div w:id="1275987962">
      <w:bodyDiv w:val="1"/>
      <w:marLeft w:val="0"/>
      <w:marRight w:val="0"/>
      <w:marTop w:val="0"/>
      <w:marBottom w:val="0"/>
      <w:divBdr>
        <w:top w:val="none" w:sz="0" w:space="0" w:color="auto"/>
        <w:left w:val="none" w:sz="0" w:space="0" w:color="auto"/>
        <w:bottom w:val="none" w:sz="0" w:space="0" w:color="auto"/>
        <w:right w:val="none" w:sz="0" w:space="0" w:color="auto"/>
      </w:divBdr>
      <w:divsChild>
        <w:div w:id="1032074989">
          <w:marLeft w:val="0"/>
          <w:marRight w:val="0"/>
          <w:marTop w:val="0"/>
          <w:marBottom w:val="0"/>
          <w:divBdr>
            <w:top w:val="none" w:sz="0" w:space="0" w:color="auto"/>
            <w:left w:val="none" w:sz="0" w:space="0" w:color="auto"/>
            <w:bottom w:val="none" w:sz="0" w:space="0" w:color="auto"/>
            <w:right w:val="none" w:sz="0" w:space="0" w:color="auto"/>
          </w:divBdr>
          <w:divsChild>
            <w:div w:id="896553911">
              <w:marLeft w:val="0"/>
              <w:marRight w:val="0"/>
              <w:marTop w:val="0"/>
              <w:marBottom w:val="0"/>
              <w:divBdr>
                <w:top w:val="none" w:sz="0" w:space="0" w:color="auto"/>
                <w:left w:val="none" w:sz="0" w:space="0" w:color="auto"/>
                <w:bottom w:val="none" w:sz="0" w:space="0" w:color="auto"/>
                <w:right w:val="none" w:sz="0" w:space="0" w:color="auto"/>
              </w:divBdr>
              <w:divsChild>
                <w:div w:id="1026294976">
                  <w:marLeft w:val="0"/>
                  <w:marRight w:val="0"/>
                  <w:marTop w:val="0"/>
                  <w:marBottom w:val="0"/>
                  <w:divBdr>
                    <w:top w:val="none" w:sz="0" w:space="0" w:color="auto"/>
                    <w:left w:val="none" w:sz="0" w:space="0" w:color="auto"/>
                    <w:bottom w:val="none" w:sz="0" w:space="0" w:color="auto"/>
                    <w:right w:val="none" w:sz="0" w:space="0" w:color="auto"/>
                  </w:divBdr>
                  <w:divsChild>
                    <w:div w:id="1482191401">
                      <w:marLeft w:val="0"/>
                      <w:marRight w:val="0"/>
                      <w:marTop w:val="0"/>
                      <w:marBottom w:val="0"/>
                      <w:divBdr>
                        <w:top w:val="none" w:sz="0" w:space="0" w:color="auto"/>
                        <w:left w:val="none" w:sz="0" w:space="0" w:color="auto"/>
                        <w:bottom w:val="none" w:sz="0" w:space="0" w:color="auto"/>
                        <w:right w:val="none" w:sz="0" w:space="0" w:color="auto"/>
                      </w:divBdr>
                      <w:divsChild>
                        <w:div w:id="1921790258">
                          <w:marLeft w:val="0"/>
                          <w:marRight w:val="0"/>
                          <w:marTop w:val="0"/>
                          <w:marBottom w:val="0"/>
                          <w:divBdr>
                            <w:top w:val="none" w:sz="0" w:space="0" w:color="auto"/>
                            <w:left w:val="none" w:sz="0" w:space="0" w:color="auto"/>
                            <w:bottom w:val="none" w:sz="0" w:space="0" w:color="auto"/>
                            <w:right w:val="none" w:sz="0" w:space="0" w:color="auto"/>
                          </w:divBdr>
                          <w:divsChild>
                            <w:div w:id="17664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403329">
      <w:bodyDiv w:val="1"/>
      <w:marLeft w:val="0"/>
      <w:marRight w:val="0"/>
      <w:marTop w:val="0"/>
      <w:marBottom w:val="0"/>
      <w:divBdr>
        <w:top w:val="none" w:sz="0" w:space="0" w:color="auto"/>
        <w:left w:val="none" w:sz="0" w:space="0" w:color="auto"/>
        <w:bottom w:val="none" w:sz="0" w:space="0" w:color="auto"/>
        <w:right w:val="none" w:sz="0" w:space="0" w:color="auto"/>
      </w:divBdr>
    </w:div>
    <w:div w:id="1360005125">
      <w:bodyDiv w:val="1"/>
      <w:marLeft w:val="0"/>
      <w:marRight w:val="0"/>
      <w:marTop w:val="0"/>
      <w:marBottom w:val="0"/>
      <w:divBdr>
        <w:top w:val="none" w:sz="0" w:space="0" w:color="auto"/>
        <w:left w:val="none" w:sz="0" w:space="0" w:color="auto"/>
        <w:bottom w:val="none" w:sz="0" w:space="0" w:color="auto"/>
        <w:right w:val="none" w:sz="0" w:space="0" w:color="auto"/>
      </w:divBdr>
      <w:divsChild>
        <w:div w:id="1205210845">
          <w:marLeft w:val="0"/>
          <w:marRight w:val="0"/>
          <w:marTop w:val="0"/>
          <w:marBottom w:val="0"/>
          <w:divBdr>
            <w:top w:val="none" w:sz="0" w:space="0" w:color="auto"/>
            <w:left w:val="none" w:sz="0" w:space="0" w:color="auto"/>
            <w:bottom w:val="none" w:sz="0" w:space="0" w:color="auto"/>
            <w:right w:val="none" w:sz="0" w:space="0" w:color="auto"/>
          </w:divBdr>
          <w:divsChild>
            <w:div w:id="1106271911">
              <w:marLeft w:val="0"/>
              <w:marRight w:val="0"/>
              <w:marTop w:val="0"/>
              <w:marBottom w:val="0"/>
              <w:divBdr>
                <w:top w:val="none" w:sz="0" w:space="0" w:color="auto"/>
                <w:left w:val="none" w:sz="0" w:space="0" w:color="auto"/>
                <w:bottom w:val="none" w:sz="0" w:space="0" w:color="auto"/>
                <w:right w:val="none" w:sz="0" w:space="0" w:color="auto"/>
              </w:divBdr>
              <w:divsChild>
                <w:div w:id="1862740826">
                  <w:marLeft w:val="0"/>
                  <w:marRight w:val="0"/>
                  <w:marTop w:val="0"/>
                  <w:marBottom w:val="0"/>
                  <w:divBdr>
                    <w:top w:val="none" w:sz="0" w:space="0" w:color="auto"/>
                    <w:left w:val="none" w:sz="0" w:space="0" w:color="auto"/>
                    <w:bottom w:val="none" w:sz="0" w:space="0" w:color="auto"/>
                    <w:right w:val="none" w:sz="0" w:space="0" w:color="auto"/>
                  </w:divBdr>
                  <w:divsChild>
                    <w:div w:id="1228952618">
                      <w:marLeft w:val="0"/>
                      <w:marRight w:val="0"/>
                      <w:marTop w:val="0"/>
                      <w:marBottom w:val="0"/>
                      <w:divBdr>
                        <w:top w:val="none" w:sz="0" w:space="0" w:color="auto"/>
                        <w:left w:val="none" w:sz="0" w:space="0" w:color="auto"/>
                        <w:bottom w:val="none" w:sz="0" w:space="0" w:color="auto"/>
                        <w:right w:val="none" w:sz="0" w:space="0" w:color="auto"/>
                      </w:divBdr>
                      <w:divsChild>
                        <w:div w:id="122620884">
                          <w:marLeft w:val="0"/>
                          <w:marRight w:val="0"/>
                          <w:marTop w:val="0"/>
                          <w:marBottom w:val="0"/>
                          <w:divBdr>
                            <w:top w:val="none" w:sz="0" w:space="0" w:color="auto"/>
                            <w:left w:val="none" w:sz="0" w:space="0" w:color="auto"/>
                            <w:bottom w:val="none" w:sz="0" w:space="0" w:color="auto"/>
                            <w:right w:val="none" w:sz="0" w:space="0" w:color="auto"/>
                          </w:divBdr>
                          <w:divsChild>
                            <w:div w:id="19011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221881">
      <w:bodyDiv w:val="1"/>
      <w:marLeft w:val="0"/>
      <w:marRight w:val="0"/>
      <w:marTop w:val="0"/>
      <w:marBottom w:val="0"/>
      <w:divBdr>
        <w:top w:val="none" w:sz="0" w:space="0" w:color="auto"/>
        <w:left w:val="none" w:sz="0" w:space="0" w:color="auto"/>
        <w:bottom w:val="none" w:sz="0" w:space="0" w:color="auto"/>
        <w:right w:val="none" w:sz="0" w:space="0" w:color="auto"/>
      </w:divBdr>
      <w:divsChild>
        <w:div w:id="42759072">
          <w:marLeft w:val="0"/>
          <w:marRight w:val="0"/>
          <w:marTop w:val="0"/>
          <w:marBottom w:val="0"/>
          <w:divBdr>
            <w:top w:val="none" w:sz="0" w:space="0" w:color="auto"/>
            <w:left w:val="none" w:sz="0" w:space="0" w:color="auto"/>
            <w:bottom w:val="none" w:sz="0" w:space="0" w:color="auto"/>
            <w:right w:val="none" w:sz="0" w:space="0" w:color="auto"/>
          </w:divBdr>
        </w:div>
      </w:divsChild>
    </w:div>
    <w:div w:id="1950621117">
      <w:bodyDiv w:val="1"/>
      <w:marLeft w:val="0"/>
      <w:marRight w:val="0"/>
      <w:marTop w:val="0"/>
      <w:marBottom w:val="0"/>
      <w:divBdr>
        <w:top w:val="none" w:sz="0" w:space="0" w:color="auto"/>
        <w:left w:val="none" w:sz="0" w:space="0" w:color="auto"/>
        <w:bottom w:val="none" w:sz="0" w:space="0" w:color="auto"/>
        <w:right w:val="none" w:sz="0" w:space="0" w:color="auto"/>
      </w:divBdr>
      <w:divsChild>
        <w:div w:id="751976942">
          <w:marLeft w:val="0"/>
          <w:marRight w:val="0"/>
          <w:marTop w:val="0"/>
          <w:marBottom w:val="0"/>
          <w:divBdr>
            <w:top w:val="none" w:sz="0" w:space="0" w:color="auto"/>
            <w:left w:val="none" w:sz="0" w:space="0" w:color="auto"/>
            <w:bottom w:val="none" w:sz="0" w:space="0" w:color="auto"/>
            <w:right w:val="none" w:sz="0" w:space="0" w:color="auto"/>
          </w:divBdr>
          <w:divsChild>
            <w:div w:id="282271537">
              <w:marLeft w:val="0"/>
              <w:marRight w:val="0"/>
              <w:marTop w:val="0"/>
              <w:marBottom w:val="0"/>
              <w:divBdr>
                <w:top w:val="none" w:sz="0" w:space="0" w:color="auto"/>
                <w:left w:val="none" w:sz="0" w:space="0" w:color="auto"/>
                <w:bottom w:val="none" w:sz="0" w:space="0" w:color="auto"/>
                <w:right w:val="none" w:sz="0" w:space="0" w:color="auto"/>
              </w:divBdr>
              <w:divsChild>
                <w:div w:id="639925177">
                  <w:marLeft w:val="0"/>
                  <w:marRight w:val="0"/>
                  <w:marTop w:val="0"/>
                  <w:marBottom w:val="0"/>
                  <w:divBdr>
                    <w:top w:val="none" w:sz="0" w:space="0" w:color="auto"/>
                    <w:left w:val="none" w:sz="0" w:space="0" w:color="auto"/>
                    <w:bottom w:val="none" w:sz="0" w:space="0" w:color="auto"/>
                    <w:right w:val="none" w:sz="0" w:space="0" w:color="auto"/>
                  </w:divBdr>
                  <w:divsChild>
                    <w:div w:id="924729243">
                      <w:marLeft w:val="0"/>
                      <w:marRight w:val="0"/>
                      <w:marTop w:val="0"/>
                      <w:marBottom w:val="0"/>
                      <w:divBdr>
                        <w:top w:val="none" w:sz="0" w:space="0" w:color="auto"/>
                        <w:left w:val="none" w:sz="0" w:space="0" w:color="auto"/>
                        <w:bottom w:val="none" w:sz="0" w:space="0" w:color="auto"/>
                        <w:right w:val="none" w:sz="0" w:space="0" w:color="auto"/>
                      </w:divBdr>
                      <w:divsChild>
                        <w:div w:id="1417676475">
                          <w:marLeft w:val="0"/>
                          <w:marRight w:val="0"/>
                          <w:marTop w:val="0"/>
                          <w:marBottom w:val="0"/>
                          <w:divBdr>
                            <w:top w:val="none" w:sz="0" w:space="0" w:color="auto"/>
                            <w:left w:val="none" w:sz="0" w:space="0" w:color="auto"/>
                            <w:bottom w:val="none" w:sz="0" w:space="0" w:color="auto"/>
                            <w:right w:val="none" w:sz="0" w:space="0" w:color="auto"/>
                          </w:divBdr>
                          <w:divsChild>
                            <w:div w:id="12294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6565</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Merkantil Bank Zrt</vt:lpstr>
    </vt:vector>
  </TitlesOfParts>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Merkantil Bank Zrt</dc:title>
  <dc:creator>user</dc:creator>
  <cp:lastModifiedBy>rakoczi</cp:lastModifiedBy>
  <cp:revision>2</cp:revision>
  <dcterms:created xsi:type="dcterms:W3CDTF">2016-01-21T11:49:00Z</dcterms:created>
  <dcterms:modified xsi:type="dcterms:W3CDTF">2016-01-21T11:49:00Z</dcterms:modified>
</cp:coreProperties>
</file>